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D6413A" w14:textId="77777777" w:rsidR="00E12B20" w:rsidRPr="00F16552" w:rsidRDefault="00E12B20" w:rsidP="00E12B20">
      <w:pPr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F16552">
        <w:rPr>
          <w:rFonts w:ascii="Arial" w:hAnsi="Arial" w:cs="Arial"/>
          <w:b/>
          <w:bCs/>
          <w:sz w:val="20"/>
          <w:szCs w:val="20"/>
        </w:rPr>
        <w:t xml:space="preserve">Instrukcja </w:t>
      </w:r>
    </w:p>
    <w:p w14:paraId="2D91480E" w14:textId="77777777" w:rsidR="00E12B20" w:rsidRPr="00F16552" w:rsidRDefault="00E12B20" w:rsidP="00E12B20">
      <w:pPr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F16552">
        <w:rPr>
          <w:rFonts w:ascii="Arial" w:hAnsi="Arial" w:cs="Arial"/>
          <w:b/>
          <w:bCs/>
          <w:sz w:val="20"/>
          <w:szCs w:val="20"/>
        </w:rPr>
        <w:t>Czy można odliczyć VAT od wydatków na wyżywienie pracowników w czasie podróży służbowej?</w:t>
      </w:r>
    </w:p>
    <w:p w14:paraId="39860FD6" w14:textId="77777777" w:rsidR="00E12B20" w:rsidRPr="00F16552" w:rsidRDefault="00E12B20" w:rsidP="00E12B20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F16552">
        <w:rPr>
          <w:rFonts w:ascii="Arial" w:hAnsi="Arial" w:cs="Arial"/>
          <w:sz w:val="20"/>
          <w:szCs w:val="20"/>
        </w:rPr>
        <w:t>Luiza Pieprzyk</w:t>
      </w:r>
    </w:p>
    <w:p w14:paraId="671A5AE8" w14:textId="77777777" w:rsidR="00E12B20" w:rsidRDefault="00E12B20" w:rsidP="00E12B20">
      <w:pPr>
        <w:spacing w:after="0" w:line="360" w:lineRule="auto"/>
        <w:jc w:val="both"/>
        <w:rPr>
          <w:rFonts w:ascii="Arial" w:eastAsiaTheme="majorEastAsia" w:hAnsi="Arial" w:cs="Arial"/>
          <w:color w:val="000000"/>
          <w:sz w:val="20"/>
          <w:szCs w:val="20"/>
        </w:rPr>
      </w:pPr>
    </w:p>
    <w:p w14:paraId="791E7222" w14:textId="77777777" w:rsidR="00E12B20" w:rsidRPr="00F16552" w:rsidRDefault="00E12B20" w:rsidP="00E12B20">
      <w:pPr>
        <w:spacing w:after="0" w:line="360" w:lineRule="auto"/>
        <w:jc w:val="both"/>
        <w:rPr>
          <w:rFonts w:ascii="Arial" w:eastAsiaTheme="majorEastAsia" w:hAnsi="Arial" w:cs="Arial"/>
          <w:color w:val="000000"/>
          <w:sz w:val="20"/>
          <w:szCs w:val="20"/>
        </w:rPr>
      </w:pPr>
      <w:r w:rsidRPr="00F16552">
        <w:rPr>
          <w:rFonts w:ascii="Arial" w:eastAsiaTheme="majorEastAsia" w:hAnsi="Arial" w:cs="Arial"/>
          <w:color w:val="000000"/>
          <w:sz w:val="20"/>
          <w:szCs w:val="20"/>
        </w:rPr>
        <w:t>Jeśli pracodawca poniesie wydatki na zakup wyżywienia dla pracowników w podróży służbowej</w:t>
      </w:r>
      <w:r>
        <w:rPr>
          <w:rFonts w:ascii="Arial" w:eastAsiaTheme="majorEastAsia" w:hAnsi="Arial" w:cs="Arial"/>
          <w:color w:val="000000"/>
          <w:sz w:val="20"/>
          <w:szCs w:val="20"/>
        </w:rPr>
        <w:t>,</w:t>
      </w:r>
      <w:r w:rsidRPr="00F16552">
        <w:rPr>
          <w:rFonts w:ascii="Arial" w:eastAsiaTheme="majorEastAsia" w:hAnsi="Arial" w:cs="Arial"/>
          <w:color w:val="000000"/>
          <w:sz w:val="20"/>
          <w:szCs w:val="20"/>
        </w:rPr>
        <w:t xml:space="preserve"> w</w:t>
      </w:r>
      <w:r>
        <w:rPr>
          <w:rFonts w:ascii="Arial" w:eastAsiaTheme="majorEastAsia" w:hAnsi="Arial" w:cs="Arial"/>
          <w:color w:val="000000"/>
          <w:sz w:val="20"/>
          <w:szCs w:val="20"/>
        </w:rPr>
        <w:t> </w:t>
      </w:r>
      <w:r w:rsidRPr="00F16552">
        <w:rPr>
          <w:rFonts w:ascii="Arial" w:eastAsiaTheme="majorEastAsia" w:hAnsi="Arial" w:cs="Arial"/>
          <w:color w:val="000000"/>
          <w:sz w:val="20"/>
          <w:szCs w:val="20"/>
        </w:rPr>
        <w:t>formie usługi gastronomicznej</w:t>
      </w:r>
      <w:r>
        <w:rPr>
          <w:rFonts w:ascii="Arial" w:eastAsiaTheme="majorEastAsia" w:hAnsi="Arial" w:cs="Arial"/>
          <w:color w:val="000000"/>
          <w:sz w:val="20"/>
          <w:szCs w:val="20"/>
        </w:rPr>
        <w:t>,</w:t>
      </w:r>
      <w:r w:rsidRPr="00BB2175">
        <w:rPr>
          <w:rFonts w:ascii="Arial" w:eastAsiaTheme="majorEastAsia" w:hAnsi="Arial" w:cs="Arial"/>
          <w:sz w:val="20"/>
          <w:szCs w:val="20"/>
        </w:rPr>
        <w:t xml:space="preserve"> </w:t>
      </w:r>
      <w:r w:rsidRPr="00F16552">
        <w:rPr>
          <w:rFonts w:ascii="Arial" w:eastAsiaTheme="majorEastAsia" w:hAnsi="Arial" w:cs="Arial"/>
          <w:b/>
          <w:sz w:val="20"/>
          <w:szCs w:val="20"/>
        </w:rPr>
        <w:t>to nie będzie miał prawa do odliczenia VAT z takiej faktury</w:t>
      </w:r>
      <w:r w:rsidRPr="00F16552">
        <w:rPr>
          <w:rFonts w:ascii="Arial" w:eastAsiaTheme="majorEastAsia" w:hAnsi="Arial" w:cs="Arial"/>
          <w:sz w:val="20"/>
          <w:szCs w:val="20"/>
        </w:rPr>
        <w:t xml:space="preserve">. </w:t>
      </w:r>
      <w:r w:rsidRPr="00F16552">
        <w:rPr>
          <w:rFonts w:ascii="Arial" w:eastAsiaTheme="majorEastAsia" w:hAnsi="Arial" w:cs="Arial"/>
          <w:color w:val="000000"/>
          <w:sz w:val="20"/>
          <w:szCs w:val="20"/>
        </w:rPr>
        <w:t>Prawo do odliczenia VAT nie przysługuje bowiem od zakupu m.in. usług gastronomicznych, z wyjątkiem nabycia gotowych posiłków przeznaczonych dla pasażerów przez podatników świadczących usługi przewozu osób (art. 88 ust. 1 pkt 4 lit. b ustawy o VAT).</w:t>
      </w:r>
    </w:p>
    <w:p w14:paraId="200D8C39" w14:textId="77777777" w:rsidR="00E12B20" w:rsidRPr="00F16552" w:rsidRDefault="00E12B20" w:rsidP="00E12B20">
      <w:pPr>
        <w:spacing w:after="0" w:line="360" w:lineRule="auto"/>
        <w:jc w:val="both"/>
        <w:rPr>
          <w:rFonts w:ascii="Arial" w:eastAsiaTheme="majorEastAsia" w:hAnsi="Arial" w:cs="Arial"/>
          <w:color w:val="000000"/>
          <w:sz w:val="20"/>
          <w:szCs w:val="20"/>
        </w:rPr>
      </w:pPr>
      <w:r w:rsidRPr="00F16552">
        <w:rPr>
          <w:rFonts w:ascii="Arial" w:eastAsiaTheme="majorEastAsia" w:hAnsi="Arial" w:cs="Arial"/>
          <w:color w:val="000000"/>
          <w:sz w:val="20"/>
          <w:szCs w:val="20"/>
        </w:rPr>
        <w:t>Ryzykowne byłoby także odliczanie VAT z faktury za wyżywienie pracowników w formie zakupu usług cateringowych czy zakupu artykułów spożywczych. Organy podatkowe uważają bowiem, że wydatki na zakup usług cateringowych dla pracowników mają generalnie charakter wydatków osobistych, które nie wykazują związku z działalnością gospodarczą podatnika, co wiąże się z brakiem prawa do odliczenia VAT od tych wydatków.</w:t>
      </w:r>
    </w:p>
    <w:p w14:paraId="42C92293" w14:textId="77777777" w:rsidR="00E12B20" w:rsidRDefault="00E12B20" w:rsidP="00E12B20">
      <w:pPr>
        <w:spacing w:after="0" w:line="360" w:lineRule="auto"/>
        <w:jc w:val="both"/>
        <w:rPr>
          <w:rFonts w:ascii="Arial" w:eastAsiaTheme="majorEastAsia" w:hAnsi="Arial" w:cs="Arial"/>
          <w:b/>
          <w:sz w:val="20"/>
          <w:szCs w:val="20"/>
        </w:rPr>
      </w:pPr>
    </w:p>
    <w:p w14:paraId="39404043" w14:textId="77777777" w:rsidR="00E12B20" w:rsidRPr="00F16552" w:rsidRDefault="00E12B20" w:rsidP="00E12B20">
      <w:pPr>
        <w:spacing w:after="0" w:line="360" w:lineRule="auto"/>
        <w:jc w:val="both"/>
        <w:rPr>
          <w:rFonts w:ascii="Arial" w:eastAsiaTheme="majorEastAsia" w:hAnsi="Arial" w:cs="Arial"/>
          <w:b/>
          <w:sz w:val="20"/>
          <w:szCs w:val="20"/>
        </w:rPr>
      </w:pPr>
      <w:r w:rsidRPr="00F16552">
        <w:rPr>
          <w:rFonts w:ascii="Arial" w:eastAsiaTheme="majorEastAsia" w:hAnsi="Arial" w:cs="Arial"/>
          <w:b/>
          <w:sz w:val="20"/>
          <w:szCs w:val="20"/>
        </w:rPr>
        <w:t xml:space="preserve">Ważne argumenty – wyjątki, które warto przeanalizować! </w:t>
      </w:r>
    </w:p>
    <w:p w14:paraId="70EE2287" w14:textId="77777777" w:rsidR="00E12B20" w:rsidRPr="00F16552" w:rsidRDefault="00E12B20" w:rsidP="00E12B20">
      <w:pPr>
        <w:spacing w:after="0" w:line="360" w:lineRule="auto"/>
        <w:jc w:val="both"/>
        <w:rPr>
          <w:rFonts w:ascii="Arial" w:eastAsiaTheme="majorEastAsia" w:hAnsi="Arial" w:cs="Arial"/>
          <w:b/>
          <w:color w:val="000000"/>
          <w:sz w:val="20"/>
          <w:szCs w:val="20"/>
        </w:rPr>
      </w:pPr>
      <w:r w:rsidRPr="00F16552">
        <w:rPr>
          <w:rFonts w:ascii="Arial" w:eastAsiaTheme="majorEastAsia" w:hAnsi="Arial" w:cs="Arial"/>
          <w:color w:val="000000"/>
          <w:sz w:val="20"/>
          <w:szCs w:val="20"/>
        </w:rPr>
        <w:t xml:space="preserve">Usługi cateringowe nie są jednak wymienione wprost w zakazach w przepisach prawa. Należy uargumentować odpowiednio cel zakupu takich usług, np. na potrzeby szkoleń wewnętrznych w firmie i na spotkania z kontrahentami, a wtedy fiskus nie zakwestionuje czegoś, co nie jest zakazane. </w:t>
      </w:r>
      <w:r w:rsidRPr="00F16552">
        <w:rPr>
          <w:rFonts w:ascii="Arial" w:eastAsiaTheme="majorEastAsia" w:hAnsi="Arial" w:cs="Arial"/>
          <w:b/>
          <w:color w:val="000000"/>
          <w:sz w:val="20"/>
          <w:szCs w:val="20"/>
        </w:rPr>
        <w:t xml:space="preserve">Podczas takich spotkań usługi te tracą charakter osobisty. </w:t>
      </w:r>
    </w:p>
    <w:p w14:paraId="7AAF8D3A" w14:textId="77777777" w:rsidR="00E12B20" w:rsidRDefault="00E12B20" w:rsidP="00E12B20">
      <w:pPr>
        <w:spacing w:after="0" w:line="360" w:lineRule="auto"/>
        <w:jc w:val="both"/>
        <w:outlineLvl w:val="0"/>
        <w:rPr>
          <w:rFonts w:ascii="Arial" w:eastAsia="Times New Roman" w:hAnsi="Arial" w:cs="Arial"/>
          <w:b/>
          <w:bCs/>
          <w:kern w:val="36"/>
          <w:sz w:val="20"/>
          <w:szCs w:val="20"/>
          <w:lang w:eastAsia="pl-PL"/>
        </w:rPr>
      </w:pPr>
    </w:p>
    <w:p w14:paraId="3BC9D166" w14:textId="77777777" w:rsidR="00E12B20" w:rsidRPr="00F16552" w:rsidRDefault="00E12B20" w:rsidP="00E12B20">
      <w:pPr>
        <w:spacing w:after="0" w:line="360" w:lineRule="auto"/>
        <w:jc w:val="both"/>
        <w:outlineLvl w:val="0"/>
        <w:rPr>
          <w:rFonts w:ascii="Arial" w:eastAsia="Times New Roman" w:hAnsi="Arial" w:cs="Arial"/>
          <w:b/>
          <w:bCs/>
          <w:kern w:val="36"/>
          <w:sz w:val="20"/>
          <w:szCs w:val="20"/>
          <w:lang w:eastAsia="pl-PL"/>
        </w:rPr>
      </w:pPr>
      <w:r w:rsidRPr="00F16552">
        <w:rPr>
          <w:rFonts w:ascii="Arial" w:eastAsia="Times New Roman" w:hAnsi="Arial" w:cs="Arial"/>
          <w:b/>
          <w:bCs/>
          <w:kern w:val="36"/>
          <w:sz w:val="20"/>
          <w:szCs w:val="20"/>
          <w:lang w:eastAsia="pl-PL"/>
        </w:rPr>
        <w:t xml:space="preserve">Catering na szkoleniach pracowników kosztem uzyskania przychodów pracodawcy </w:t>
      </w:r>
    </w:p>
    <w:p w14:paraId="4872FC1D" w14:textId="77777777" w:rsidR="00E12B20" w:rsidRDefault="00E12B20" w:rsidP="00E12B20">
      <w:pPr>
        <w:spacing w:after="0" w:line="36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F16552">
        <w:rPr>
          <w:rFonts w:ascii="Arial" w:hAnsi="Arial" w:cs="Arial"/>
          <w:sz w:val="20"/>
          <w:szCs w:val="20"/>
        </w:rPr>
        <w:t>Wydatki ponoszone na zakup usług gastronomicznych (cateringowych) nabywanych przez spółkę w</w:t>
      </w:r>
      <w:r>
        <w:rPr>
          <w:rFonts w:ascii="Arial" w:hAnsi="Arial" w:cs="Arial"/>
          <w:sz w:val="20"/>
          <w:szCs w:val="20"/>
        </w:rPr>
        <w:t> </w:t>
      </w:r>
      <w:r w:rsidRPr="00F16552">
        <w:rPr>
          <w:rFonts w:ascii="Arial" w:hAnsi="Arial" w:cs="Arial"/>
          <w:sz w:val="20"/>
          <w:szCs w:val="20"/>
        </w:rPr>
        <w:t>związku z organizowanymi szkoleniami, których celem jest podnoszenie kwalifikacji zawodowych pracowników oraz osób współpracujących ze spółką, mogą stanowić koszt uzyskania przychodów tej spółki. Szkolenia mogą odbywać się również poza siedzib</w:t>
      </w:r>
      <w:r>
        <w:rPr>
          <w:rFonts w:ascii="Arial" w:hAnsi="Arial" w:cs="Arial"/>
          <w:sz w:val="20"/>
          <w:szCs w:val="20"/>
        </w:rPr>
        <w:t>ą</w:t>
      </w:r>
      <w:r w:rsidRPr="00F16552">
        <w:rPr>
          <w:rFonts w:ascii="Arial" w:hAnsi="Arial" w:cs="Arial"/>
          <w:sz w:val="20"/>
          <w:szCs w:val="20"/>
        </w:rPr>
        <w:t xml:space="preserve"> firmy, a od inwencji pracodawcy</w:t>
      </w:r>
      <w:r>
        <w:rPr>
          <w:rFonts w:ascii="Arial" w:hAnsi="Arial" w:cs="Arial"/>
          <w:sz w:val="20"/>
          <w:szCs w:val="20"/>
        </w:rPr>
        <w:t xml:space="preserve"> zależy</w:t>
      </w:r>
      <w:r w:rsidRPr="00F16552">
        <w:rPr>
          <w:rFonts w:ascii="Arial" w:hAnsi="Arial" w:cs="Arial"/>
          <w:sz w:val="20"/>
          <w:szCs w:val="20"/>
        </w:rPr>
        <w:t xml:space="preserve">, jak uargumentuje wyżywienie pracowników. </w:t>
      </w:r>
    </w:p>
    <w:p w14:paraId="7E3EB800" w14:textId="77777777" w:rsidR="00E12B20" w:rsidRPr="00F16552" w:rsidRDefault="00E12B20" w:rsidP="00E12B20">
      <w:pPr>
        <w:spacing w:after="0" w:line="360" w:lineRule="auto"/>
        <w:jc w:val="both"/>
        <w:outlineLvl w:val="0"/>
        <w:rPr>
          <w:rFonts w:ascii="Arial" w:hAnsi="Arial" w:cs="Arial"/>
          <w:sz w:val="20"/>
          <w:szCs w:val="20"/>
        </w:rPr>
      </w:pPr>
    </w:p>
    <w:p w14:paraId="4725E58A" w14:textId="77777777" w:rsidR="00E12B20" w:rsidRPr="00F16552" w:rsidRDefault="00E12B20" w:rsidP="00E12B20">
      <w:pPr>
        <w:spacing w:after="0" w:line="360" w:lineRule="auto"/>
        <w:jc w:val="both"/>
        <w:outlineLvl w:val="0"/>
        <w:rPr>
          <w:rFonts w:ascii="Arial" w:hAnsi="Arial" w:cs="Arial"/>
          <w:b/>
          <w:sz w:val="20"/>
          <w:szCs w:val="20"/>
        </w:rPr>
      </w:pPr>
      <w:r w:rsidRPr="00F16552">
        <w:rPr>
          <w:rFonts w:ascii="Arial" w:hAnsi="Arial" w:cs="Arial"/>
          <w:b/>
          <w:sz w:val="20"/>
          <w:szCs w:val="20"/>
        </w:rPr>
        <w:t>Podstawa prawna</w:t>
      </w:r>
    </w:p>
    <w:p w14:paraId="13E3BD9F" w14:textId="77777777" w:rsidR="00E12B20" w:rsidRPr="00985C30" w:rsidRDefault="00E12B20" w:rsidP="00E12B20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both"/>
        <w:outlineLvl w:val="0"/>
        <w:rPr>
          <w:rFonts w:ascii="Arial" w:hAnsi="Arial" w:cs="Arial"/>
          <w:sz w:val="20"/>
          <w:szCs w:val="20"/>
        </w:rPr>
      </w:pPr>
      <w:r w:rsidRPr="00985C30">
        <w:rPr>
          <w:rFonts w:ascii="Arial" w:hAnsi="Arial" w:cs="Arial"/>
          <w:sz w:val="20"/>
          <w:szCs w:val="20"/>
        </w:rPr>
        <w:t>Interpretacja indywidualna Dyrektora K</w:t>
      </w:r>
      <w:r>
        <w:rPr>
          <w:rFonts w:ascii="Arial" w:hAnsi="Arial" w:cs="Arial"/>
          <w:sz w:val="20"/>
          <w:szCs w:val="20"/>
        </w:rPr>
        <w:t xml:space="preserve">rajowej </w:t>
      </w:r>
      <w:r w:rsidRPr="00985C30">
        <w:rPr>
          <w:rFonts w:ascii="Arial" w:hAnsi="Arial" w:cs="Arial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 xml:space="preserve">nformacji </w:t>
      </w:r>
      <w:r w:rsidRPr="00985C30">
        <w:rPr>
          <w:rFonts w:ascii="Arial" w:hAnsi="Arial" w:cs="Arial"/>
          <w:sz w:val="20"/>
          <w:szCs w:val="20"/>
        </w:rPr>
        <w:t>S</w:t>
      </w:r>
      <w:r>
        <w:rPr>
          <w:rFonts w:ascii="Arial" w:hAnsi="Arial" w:cs="Arial"/>
          <w:sz w:val="20"/>
          <w:szCs w:val="20"/>
        </w:rPr>
        <w:t>karbowej</w:t>
      </w:r>
      <w:r w:rsidRPr="00985C30">
        <w:rPr>
          <w:rFonts w:ascii="Arial" w:hAnsi="Arial" w:cs="Arial"/>
          <w:sz w:val="20"/>
          <w:szCs w:val="20"/>
        </w:rPr>
        <w:t xml:space="preserve"> z dnia 3 lipca 2017 r., </w:t>
      </w:r>
      <w:r>
        <w:rPr>
          <w:rFonts w:ascii="Arial" w:hAnsi="Arial" w:cs="Arial"/>
          <w:sz w:val="20"/>
          <w:szCs w:val="20"/>
        </w:rPr>
        <w:t xml:space="preserve">znak: </w:t>
      </w:r>
      <w:r w:rsidRPr="00985C30">
        <w:rPr>
          <w:rFonts w:ascii="Arial" w:hAnsi="Arial" w:cs="Arial"/>
          <w:sz w:val="20"/>
          <w:szCs w:val="20"/>
        </w:rPr>
        <w:t>0111-KDIB2-3.4010.15.2017.1.AB.</w:t>
      </w:r>
    </w:p>
    <w:p w14:paraId="22EE321D" w14:textId="77777777" w:rsidR="00E12B20" w:rsidRPr="00985C30" w:rsidRDefault="00E12B20" w:rsidP="00E12B20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both"/>
        <w:outlineLvl w:val="0"/>
        <w:rPr>
          <w:rStyle w:val="Pogrubienie"/>
          <w:rFonts w:ascii="Arial" w:hAnsi="Arial" w:cs="Arial"/>
          <w:b w:val="0"/>
          <w:iCs/>
          <w:sz w:val="20"/>
          <w:szCs w:val="20"/>
        </w:rPr>
      </w:pPr>
      <w:r>
        <w:rPr>
          <w:rStyle w:val="Pogrubienie"/>
          <w:rFonts w:ascii="Arial" w:hAnsi="Arial" w:cs="Arial"/>
          <w:b w:val="0"/>
          <w:iCs/>
          <w:sz w:val="20"/>
          <w:szCs w:val="20"/>
        </w:rPr>
        <w:t>P</w:t>
      </w:r>
      <w:r w:rsidRPr="00985C30">
        <w:rPr>
          <w:rStyle w:val="Pogrubienie"/>
          <w:rFonts w:ascii="Arial" w:hAnsi="Arial" w:cs="Arial"/>
          <w:b w:val="0"/>
          <w:iCs/>
          <w:sz w:val="20"/>
          <w:szCs w:val="20"/>
        </w:rPr>
        <w:t>ismo Dyrektora Izby Skarbowej w Katowicach, sygn.</w:t>
      </w:r>
      <w:r>
        <w:rPr>
          <w:rStyle w:val="Pogrubienie"/>
          <w:rFonts w:ascii="Arial" w:hAnsi="Arial" w:cs="Arial"/>
          <w:b w:val="0"/>
          <w:iCs/>
          <w:sz w:val="20"/>
          <w:szCs w:val="20"/>
        </w:rPr>
        <w:t xml:space="preserve"> akt:</w:t>
      </w:r>
      <w:r w:rsidRPr="00985C30">
        <w:rPr>
          <w:rStyle w:val="Pogrubienie"/>
          <w:rFonts w:ascii="Arial" w:hAnsi="Arial" w:cs="Arial"/>
          <w:b w:val="0"/>
          <w:iCs/>
          <w:sz w:val="20"/>
          <w:szCs w:val="20"/>
        </w:rPr>
        <w:t xml:space="preserve"> IBPBI/1/415-454/11/ESZ z 26 lipca 2011 r.</w:t>
      </w:r>
    </w:p>
    <w:p w14:paraId="2705429A" w14:textId="77777777" w:rsidR="00E12B20" w:rsidRPr="00985C30" w:rsidRDefault="00E12B20" w:rsidP="00E12B20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both"/>
        <w:outlineLvl w:val="0"/>
        <w:rPr>
          <w:rStyle w:val="Pogrubienie"/>
          <w:rFonts w:ascii="Arial" w:hAnsi="Arial" w:cs="Arial"/>
          <w:b w:val="0"/>
          <w:iCs/>
          <w:sz w:val="20"/>
          <w:szCs w:val="20"/>
        </w:rPr>
      </w:pPr>
      <w:r w:rsidRPr="00985C30">
        <w:rPr>
          <w:rStyle w:val="Pogrubienie"/>
          <w:rFonts w:ascii="Arial" w:hAnsi="Arial" w:cs="Arial"/>
          <w:b w:val="0"/>
          <w:iCs/>
          <w:sz w:val="20"/>
          <w:szCs w:val="20"/>
        </w:rPr>
        <w:t>Interpretacja indywidualna Dyrektora Izby Skarbowej w Warszawie z dnia 27 stycznia 2017 r.</w:t>
      </w:r>
      <w:r>
        <w:rPr>
          <w:rStyle w:val="Pogrubienie"/>
          <w:rFonts w:ascii="Arial" w:hAnsi="Arial" w:cs="Arial"/>
          <w:b w:val="0"/>
          <w:iCs/>
          <w:sz w:val="20"/>
          <w:szCs w:val="20"/>
        </w:rPr>
        <w:t>,</w:t>
      </w:r>
      <w:r w:rsidRPr="00985C30">
        <w:rPr>
          <w:rStyle w:val="Pogrubienie"/>
          <w:rFonts w:ascii="Arial" w:hAnsi="Arial" w:cs="Arial"/>
          <w:b w:val="0"/>
          <w:iCs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znak:</w:t>
      </w:r>
      <w:r w:rsidRPr="00985C30">
        <w:rPr>
          <w:rStyle w:val="Pogrubienie"/>
          <w:rFonts w:ascii="Arial" w:hAnsi="Arial" w:cs="Arial"/>
          <w:b w:val="0"/>
          <w:iCs/>
          <w:sz w:val="20"/>
          <w:szCs w:val="20"/>
        </w:rPr>
        <w:t xml:space="preserve"> 1462-IPPP3.4512.801.2016.2.IG.</w:t>
      </w:r>
    </w:p>
    <w:p w14:paraId="4FBC0172" w14:textId="77777777" w:rsidR="0054151C" w:rsidRDefault="0054151C">
      <w:bookmarkStart w:id="0" w:name="_GoBack"/>
      <w:bookmarkEnd w:id="0"/>
    </w:p>
    <w:sectPr w:rsidR="005415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3591798"/>
    <w:multiLevelType w:val="hybridMultilevel"/>
    <w:tmpl w:val="D07E02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0F3C"/>
    <w:rsid w:val="0054151C"/>
    <w:rsid w:val="008F0F3C"/>
    <w:rsid w:val="00E12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  <w15:docId w15:val="{5E26DE27-2D26-4A4B-8C7C-84014DF88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12B2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List Paragraph"/>
    <w:basedOn w:val="Normalny"/>
    <w:link w:val="AkapitzlistZnak"/>
    <w:uiPriority w:val="34"/>
    <w:qFormat/>
    <w:rsid w:val="00E12B20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E12B20"/>
    <w:rPr>
      <w:b/>
      <w:bCs/>
    </w:rPr>
  </w:style>
  <w:style w:type="character" w:customStyle="1" w:styleId="AkapitzlistZnak">
    <w:name w:val="Akapit z listą Znak"/>
    <w:aliases w:val="Numerowanie Znak,List Paragraph Znak"/>
    <w:basedOn w:val="Domylnaczcionkaakapitu"/>
    <w:link w:val="Akapitzlist"/>
    <w:uiPriority w:val="34"/>
    <w:locked/>
    <w:rsid w:val="00E12B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318</Words>
  <Characters>1913</Characters>
  <Application>Microsoft Office Word</Application>
  <DocSecurity>0</DocSecurity>
  <Lines>15</Lines>
  <Paragraphs>4</Paragraphs>
  <ScaleCrop>false</ScaleCrop>
  <Company>Forum Media Polska</Company>
  <LinksUpToDate>false</LinksUpToDate>
  <CharactersWithSpaces>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Sawicki Jakub</dc:creator>
  <cp:keywords/>
  <dc:description/>
  <cp:lastModifiedBy>Sawicki Jakub</cp:lastModifiedBy>
  <cp:revision>2</cp:revision>
  <dcterms:created xsi:type="dcterms:W3CDTF">2024-08-08T11:38:00Z</dcterms:created>
  <dcterms:modified xsi:type="dcterms:W3CDTF">2024-08-08T11:39:00Z</dcterms:modified>
</cp:coreProperties>
</file>